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6"/>
          <w:shd w:fill="auto" w:val="clear"/>
        </w:rPr>
        <w:t xml:space="preserve">El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6"/>
          <w:shd w:fill="auto" w:val="clear"/>
        </w:rPr>
        <w:t xml:space="preserve">őzetes hatásvizsgálat 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Kup Község Önkormányzat Képvisel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ő – testületének a 2015. évi költségvetés módosításáról szóló 11/2015.(IX.18.) önkormányzati rendelethez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jogalkotásról szóló 2010. évi CXXX. törvény 17.§-a szerint a jogszabályok 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őkészítése során előzetes hatásvizsgálat elvégzésével kell felmérni a tervezett jogszabály valamennyi jelentősnek ítélt hatását, a szabályozás várható következményeit. Az előzetes hatásvizsgálat megállapításai a rendelettervezet esetében az alábbiak: </w:t>
      </w:r>
    </w:p>
    <w:p>
      <w:pPr>
        <w:numPr>
          <w:ilvl w:val="0"/>
          <w:numId w:val="4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Társadalmi hatások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költségvetés rendeletének módosítási tervezet társadalmi hatása indokolt. A 2015. évi költségvetés módosítás 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őkészítése során hatásvizsgálatot végeztünk, amely során, megvizsgáltuk az eredeti költségvetésben, a jelenlegi módosítási javaslatban szereplő tételek és ennek végeredményeként a módosított költségvetés megvalósításának lehetőségét és hatását. Ez a vizsgálat kiterjed a források és a kiadások jelenleg ismert teljes körű számbavételére. A módosításra elsősorban az előző évben képződött pénzmaradvány igénybevétele miatt, a leutalt bérkompenzáció, valamint az egyes jövedelempótló támogatások miatt került sor. 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Gazdasági hatás 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Jelent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ős, mivel a 2015. évi költségvetés eredeti előirányzat növekedése továbbá célok megvalósításának forrását biztosítja, ami az esetleges problémák, vagy megoldásra váró feladatok megoldását biztosítja.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0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Költségvetési hatás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rendelet-tervezet az önkormányzat és a fenntartása alá tartozó költségvetési szervek költségvetésének a rendeletmódosítást követ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ően hozott központi és önkormányzati döntések, valamint saját hatáskörű módosítások miatti korrekcióját tartalmazza.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Környezeti, egészségi következményei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rendeletnek környezeti és egészségügyi következményei nincsenek. 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Adminisztratív terheket befolyásoló hatások 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rendelet megalkotásának adminisztratív terhet befolyásoló hatása nincs, a költségvetés módosításához szükséges adminisztratív állomány önkormányzatra összesítve rendelkezésre áll.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8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A jogszabály megalkotásának szükségessége, a jogalkotás elmaradásának várható következményei 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Az államháztartásról szóló 2011. évi CXCV. törvény 34. § (5) bekezdése értelmében a Képvisel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ő-testület negyedévente, de legkésőbb az éves költségvetési beszámoló elkészítés határidejéig -2015.december 31-ei hatállyal –módosítja a 2015. évi költségvetési rendeletét. A rendelet megalkotásának elmaradása esetén a Kormányhivatal törvényességi felhívással élhet.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1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A jogszabály alkalmazásához szükséges személyi, szervezeti, tárgyi és pénzügyi feltételek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jogszabály alkalmazásához szükséges személyi, szervezeti, tárgyi feltételek rendelkezésre állnak.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INDOKOLÁS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Az államháztartásról szóló 2011. évi CXCV. törvény 23. § (1) bekezdése alapján a helyi önkormányzat a költségvetését költségvetési rendeletben állapítja meg. A költségvetés megalkotásának kötelezettsége nem csak az államháztartási törvényben, hanem az Alaptörvényben és a Magyarország helyi önkormányzatairól szóló törtvényben is szabályozott. Nem kérdés, hogy a költségvetés megalkotásának kötelezettsége rendeleti formában magasabb szint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ű jogszabályi rendelkezésnek való megfelelés érdekében szükséges. Ezen túl nyilván azért is, hiszen a gazdálkodás rendszerét, a tervezett bevételeket, a teljesíthető kiadásokat határozza meg. Az államháztartásról szóló törvény előterjesztésben idézett 34. § (5) bekezdése előírja, hogy a képviselő-testület a (2) és (3) bekezdés szerinti előirányzat-módosítás, előirányzat-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 Az államháztartási törvény, valamint annak végrehajtási rendelete a költségvetés tartalmi elemeit szabályozza, így ezek a rendelet tervezet összeállításának alapjai. A módosítással a rendelet költségvetési főösszeget meghatározó, valamint a kiemelt előirányzatokat tartalmazó szakasza, valamint a mellékletei módosulnak.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num w:numId="4">
    <w:abstractNumId w:val="36"/>
  </w:num>
  <w:num w:numId="7">
    <w:abstractNumId w:val="30"/>
  </w:num>
  <w:num w:numId="10">
    <w:abstractNumId w:val="24"/>
  </w:num>
  <w:num w:numId="13">
    <w:abstractNumId w:val="18"/>
  </w:num>
  <w:num w:numId="15">
    <w:abstractNumId w:val="12"/>
  </w:num>
  <w:num w:numId="18">
    <w:abstractNumId w:val="6"/>
  </w:num>
  <w:num w:numId="2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