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Kup Község Önkormányzat képvisel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ő-testületének …./2019. (…..) önkormányzati rendelete Kup Község Önkormányzatának 2018. évi zárszámadásáról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Kup Község Önkormányzat képvisel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ő-testülete az Alaptörvény 32. cikk (1) bekezdésének a) és f) pontjában, valamint az államháztartásról szóló 2011. évi CXCV. törvény 91. § (1) bekezdése alapján az önkormányzat 2018. évi költségvetés végrehajtásáról az alábbi rendeletet rendeli el.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Az önkormányzat összesített 2018. évi költségvetése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 1</w:t>
      </w:r>
      <w:r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  <w:t xml:space="preserve">. </w:t>
      </w:r>
      <w:r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  <w:t xml:space="preserve">§</w:t>
      </w:r>
    </w:p>
    <w:p>
      <w:pPr>
        <w:spacing w:before="0" w:after="0" w:line="240"/>
        <w:ind w:right="0" w:left="644" w:firstLine="0"/>
        <w:jc w:val="left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284" w:firstLine="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Az önkormányzat önkormányzati szinten összesített 2018. évi zárszámadását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a)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4"/>
          <w:shd w:fill="FFFFFF" w:val="clear"/>
        </w:rPr>
        <w:t xml:space="preserve">   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77.357.566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eredeti bevételi és kiadási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őirányzattal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b)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4"/>
          <w:shd w:fill="FFFFFF" w:val="clear"/>
        </w:rPr>
        <w:t xml:space="preserve"> 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84.600.214 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Ft módosított bevételi és kiadási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őirányzattal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c)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80.169.053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bevételi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 teljesítéssel és 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65.363.417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kiadási előirányzat teljesítéssel 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d)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23.065.327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maradvánnyal hagyja jóvá.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  <w:t xml:space="preserve">2. §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(1) Az önkormányzat összesített 2018. évi költségvetési bevételeinek és kiadásainak kiemelt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őirányzatonkénti részletezését és teljesülését, valamint finanszírozási bevételeinek és kiadásainak részletezését és teljesülését az 1. melléklet tartalmazza.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(2) Az önkormányzat m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űködési és felhalmozási bevételeinek és kiadásainak mérlegét a 2.1 és a 2.2. melléklet mutatja be.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(3) A  felújítási célú kiadások részletezését a 3. melléklet szerint fogadja el.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(4) A többéves kihatással járó döntésekb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ől származó kötelezettségeket a 4. melléklet szerint hagyja jóvá.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(5) A céljelleggel juttatott támogatásokat a 5. melléklet mutatja be.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(6) Az önkormányzat 2018. december 31-i állapot szerinti vagyonkimutatást (vagyonmérleget) a 6.1 és 6.2 melléklet szerint fogadja el a képvisel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ő-testület. 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  <w:t xml:space="preserve">3.§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(1) A költségvetési évben a  Magyarország gazdasági stabilitásáról szóló 2011. évi CXCIV. törvény  (a továbbiakban: Stabilitási Tv.) 3. § (1) bekezdése szerinti adósságot keletkez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 ügylet megkötése nem vált szükségessé.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(2) A közfoglalkoztatottak teljesített létszámkeretét 1 f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őben határozza meg.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(3) Az önkormányzat Európai Uniós forrásból finanszírozott támogatással nem rendelkezik.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(4) Az önkormányzat 2018. évi m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űködése során hitelfelvételre nem került sor.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  <w:t xml:space="preserve">4.§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a) Az önkormányzat 2017. évi bevételeinek és kiadásainak kiemelt            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őirányzatonkénti részletezését és teljesülését, valamint finanszírozási bevételeinek és kiadásainak részletezését és teljesülését  a 7.1 melléklet szerint fogadja el a képviselő-testület.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b) A Kupi Vadrózsa Német Nemzetiségi Óvoda 2018. évi bevételeinek és kiadásainak kiemelt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őirányzatonkénti részletezését és teljesülését, valamint finanszírozási bevételeinek és kiadásainak részletezését és  a 7.2 melléklet mutatja be.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c)   A költségvetési mérlegét a 8. melléklet szerint fogadja el.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d)   A maradvány kimutatást a 9. melléklet mutatja be.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e)   Az eredmény kimutatást a 10. melléklet szerint fogadja el.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  <w:t xml:space="preserve">5.§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         Az önkormányzat saját 2018. évi zárszámadását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a)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4"/>
          <w:shd w:fill="FFFFFF" w:val="clear"/>
        </w:rPr>
        <w:t xml:space="preserve">     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61.272.566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eredeti bevételi és kiadási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őirányzattal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b)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4"/>
          <w:shd w:fill="FFFFFF" w:val="clear"/>
        </w:rPr>
        <w:t xml:space="preserve">    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67.271.130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módosított bevételi és kiadási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őirányzattal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c)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4"/>
          <w:shd w:fill="FFFFFF" w:val="clear"/>
        </w:rPr>
        <w:t xml:space="preserve">  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65.570.971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bevételi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 teljesítéssel és 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51.460.793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kiadási előirányzat teljesítéssel hagyja jóvá.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A Kupi Vadrózsa Német Nemzetiségi Óvoda 2018. évi zárszámadását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a)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4"/>
          <w:shd w:fill="FFFFFF" w:val="clear"/>
        </w:rPr>
        <w:t xml:space="preserve">    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16.085.000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eredeti bevételi és kiadási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őirányzattal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b)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4"/>
          <w:shd w:fill="FFFFFF" w:val="clear"/>
        </w:rPr>
        <w:t xml:space="preserve">    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17.329.084 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Ft módosított bevételi és kiadási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őirányzattal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c)   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14.598.082 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Ft bevételi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 teljesítéssel és </w:t>
      </w: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13.902.624 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Ft kiadási előirányzat teljesítéssel hagyja jóvá.</w:t>
      </w: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1004" w:hanging="360"/>
        <w:jc w:val="left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d)  A Kupi Vadrózsa Német Nemzetiségi Óvoda 2018. évi bevételeinek és</w:t>
      </w: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kiadásainak kiemelt 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őirányzatonkénti részletezését és teljesülését, valamint</w:t>
      </w: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finanszírozási bevételeinek és kiadásainak részletezését és teljesülését a 11. melléklet mutatja be.</w:t>
      </w: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e)  A Kupi Vadrózsa Német Nemzetiségi Óvoda költségvetési mérlegét a 12. melléklet, az eredmény kimutatását a 13. melléklet, a maradvány kimutatását</w:t>
      </w: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a 14. melléklet, a vagyonkimutatását (vagyonmérlegét) a 15.1 és 15.2</w:t>
      </w: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melléklet mutatja be.</w:t>
      </w: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1004" w:hanging="36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f)  A képvisel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ő-testület a Kupi Vadrózsa Német Nemzetiségi Óvoda 2018. évre teljesített létszámkeretét 4 főben hagyja jóvá.</w:t>
      </w:r>
    </w:p>
    <w:p>
      <w:pPr>
        <w:spacing w:before="0" w:after="200" w:line="276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b/>
          <w:color w:val="333333"/>
          <w:spacing w:val="0"/>
          <w:position w:val="0"/>
          <w:sz w:val="24"/>
          <w:shd w:fill="FFFFFF" w:val="clear"/>
        </w:rPr>
        <w:t xml:space="preserve">Egyéb rendelkezések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333333"/>
          <w:spacing w:val="0"/>
          <w:position w:val="0"/>
          <w:sz w:val="18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 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  <w:t xml:space="preserve">6.§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      a) A rendelet a kihirdetést követ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ő napon lép hatályba.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</w:pP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       b) E rendelet hatályba lépésével egyidej</w:t>
      </w:r>
      <w:r>
        <w:rPr>
          <w:rFonts w:ascii="Arial" w:hAnsi="Arial" w:cs="Arial" w:eastAsia="Arial"/>
          <w:color w:val="333333"/>
          <w:spacing w:val="0"/>
          <w:position w:val="0"/>
          <w:sz w:val="24"/>
          <w:shd w:fill="FFFFFF" w:val="clear"/>
        </w:rPr>
        <w:t xml:space="preserve">űleg az Önkormányzat 2018. évi költségvetéséről szóló 1/2018.(II.20.) számú rendelet, hatályát veszti.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Kup, 2019 ……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.........................................................                             .....................................</w:t>
      </w:r>
    </w:p>
    <w:p>
      <w:pPr>
        <w:spacing w:before="0" w:after="0" w:line="240"/>
        <w:ind w:right="0" w:left="108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           Hiér Judit                                                          Kissné Szántó Mária</w:t>
      </w:r>
    </w:p>
    <w:p>
      <w:pPr>
        <w:spacing w:before="0" w:after="0" w:line="240"/>
        <w:ind w:right="0" w:left="108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        polgármester                                                                 jegyz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