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b/>
          <w:b/>
          <w:i/>
          <w:i/>
          <w:sz w:val="26"/>
        </w:rPr>
      </w:pPr>
      <w:r>
        <w:rPr>
          <w:rFonts w:eastAsia="Arial" w:cs="Arial" w:ascii="Arial" w:hAnsi="Arial"/>
          <w:b/>
          <w:i/>
          <w:sz w:val="26"/>
        </w:rPr>
        <w:t>Előzetes hatásvizsgálat</w:t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b/>
          <w:b/>
          <w:i/>
          <w:i/>
          <w:sz w:val="26"/>
        </w:rPr>
      </w:pPr>
      <w:r>
        <w:rPr>
          <w:rFonts w:eastAsia="Arial" w:cs="Arial" w:ascii="Arial" w:hAnsi="Arial"/>
          <w:b/>
          <w:i/>
          <w:sz w:val="26"/>
        </w:rPr>
        <w:t xml:space="preserve">Kup Község Önkormányzata 2017. évi költségvetésének </w:t>
      </w:r>
      <w:r>
        <w:rPr>
          <w:rFonts w:eastAsia="Arial" w:cs="Arial" w:ascii="Arial" w:hAnsi="Arial"/>
          <w:b/>
          <w:i/>
          <w:sz w:val="26"/>
        </w:rPr>
        <w:t>módosításáról</w:t>
      </w:r>
      <w:r>
        <w:rPr>
          <w:rFonts w:eastAsia="Arial" w:cs="Arial" w:ascii="Arial" w:hAnsi="Arial"/>
          <w:b/>
          <w:i/>
          <w:sz w:val="26"/>
        </w:rPr>
        <w:t xml:space="preserve"> szóló ../2018. (......) önkormányzati rendeletéhez</w:t>
      </w:r>
    </w:p>
    <w:p>
      <w:pPr>
        <w:pStyle w:val="Normal"/>
        <w:spacing w:lineRule="auto" w:line="240" w:before="0" w:after="0"/>
        <w:jc w:val="center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jogalkotásról szóló 2010. évi CXXX. törvény 17.§-a szerint a jogszabályok előkészítése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502" w:hanging="360"/>
        <w:jc w:val="both"/>
        <w:rPr>
          <w:rFonts w:ascii="Arial" w:hAnsi="Arial" w:eastAsia="Arial" w:cs="Arial"/>
          <w:b/>
          <w:b/>
          <w:i/>
          <w:i/>
          <w:sz w:val="24"/>
        </w:rPr>
      </w:pPr>
      <w:r>
        <w:rPr>
          <w:rFonts w:eastAsia="Arial" w:cs="Arial" w:ascii="Arial" w:hAnsi="Arial"/>
          <w:b/>
          <w:i/>
          <w:sz w:val="24"/>
        </w:rPr>
        <w:t>Társadalmi hatások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2017. évi költségvetésben tervezésre kerültek a bevételek, kiadások. Bevételek között a normatív hozzájárulások, a központi költségvetésből kapott támogatásokat, helyi adóbevétel kerültek megtervezésre. A költségvetés biztosítja az intézmények működtetését, kötelező feladatok ellátásának anyagi fedezetét.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502" w:hanging="360"/>
        <w:jc w:val="both"/>
        <w:rPr>
          <w:rFonts w:ascii="Arial" w:hAnsi="Arial" w:eastAsia="Arial" w:cs="Arial"/>
          <w:b/>
          <w:b/>
          <w:i/>
          <w:i/>
          <w:sz w:val="24"/>
        </w:rPr>
      </w:pPr>
      <w:r>
        <w:rPr>
          <w:rFonts w:eastAsia="Arial" w:cs="Arial" w:ascii="Arial" w:hAnsi="Arial"/>
          <w:b/>
          <w:i/>
          <w:sz w:val="24"/>
        </w:rPr>
        <w:t>Gazdasági, költségvetési hatások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Az önkormányzat bevételei biztosítják az önkormányzat és intézményei működését, a tartalék lehetőséget nyújt fejlesztésre.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502" w:hanging="360"/>
        <w:jc w:val="both"/>
        <w:rPr>
          <w:rFonts w:ascii="Arial" w:hAnsi="Arial" w:eastAsia="Arial" w:cs="Arial"/>
          <w:b/>
          <w:b/>
          <w:i/>
          <w:i/>
          <w:sz w:val="24"/>
        </w:rPr>
      </w:pPr>
      <w:r>
        <w:rPr>
          <w:rFonts w:eastAsia="Arial" w:cs="Arial" w:ascii="Arial" w:hAnsi="Arial"/>
          <w:b/>
          <w:i/>
          <w:sz w:val="24"/>
        </w:rPr>
        <w:t>Környezeti és egészségügyi következmények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rendelet megalkotásának környezeti, egészségügyi következménye nincs.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502" w:hanging="360"/>
        <w:jc w:val="both"/>
        <w:rPr>
          <w:rFonts w:ascii="Arial" w:hAnsi="Arial" w:eastAsia="Arial" w:cs="Arial"/>
          <w:b/>
          <w:b/>
          <w:i/>
          <w:i/>
          <w:sz w:val="24"/>
        </w:rPr>
      </w:pPr>
      <w:r>
        <w:rPr>
          <w:rFonts w:eastAsia="Arial" w:cs="Arial" w:ascii="Arial" w:hAnsi="Arial"/>
          <w:b/>
          <w:i/>
          <w:sz w:val="24"/>
        </w:rPr>
        <w:t>Adminisztratív terheket befolyásoló hatások</w:t>
      </w:r>
    </w:p>
    <w:p>
      <w:pPr>
        <w:pStyle w:val="Normal"/>
        <w:spacing w:lineRule="auto" w:line="240" w:before="0" w:after="0"/>
        <w:ind w:left="502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rendelet megalkotásának adminisztratív terhet befolyásoló hatása nincs.</w:t>
      </w:r>
    </w:p>
    <w:p>
      <w:pPr>
        <w:pStyle w:val="Normal"/>
        <w:spacing w:lineRule="auto" w:line="240" w:before="0" w:after="0"/>
        <w:ind w:left="502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hanging="360"/>
        <w:jc w:val="both"/>
        <w:rPr>
          <w:rFonts w:ascii="Arial" w:hAnsi="Arial" w:eastAsia="Arial" w:cs="Arial"/>
          <w:b/>
          <w:b/>
          <w:i/>
          <w:i/>
          <w:sz w:val="24"/>
        </w:rPr>
      </w:pPr>
      <w:r>
        <w:rPr>
          <w:rFonts w:eastAsia="Arial" w:cs="Arial" w:ascii="Arial" w:hAnsi="Arial"/>
          <w:b/>
          <w:i/>
          <w:sz w:val="24"/>
        </w:rPr>
        <w:t>A jogszabály megalkotásának szükségessége, a jogalkotás elmaradásának várható következményei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Költségvetés megalkotását előírja Magyarország 2017. évi költségvetéséről szóló 2016. évi XC. törvény, valamint az államháztartás működési rendjéről szóló 368/2011. (XII.31.) Korm.rendelet.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Amennyiben a rendeletet nem alkotja meg a képviselő-testület az állami támogatásokra nem lesz jogosult.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502" w:hanging="360"/>
        <w:jc w:val="both"/>
        <w:rPr>
          <w:rFonts w:ascii="Arial" w:hAnsi="Arial" w:eastAsia="Arial" w:cs="Arial"/>
          <w:b/>
          <w:b/>
          <w:i/>
          <w:i/>
          <w:sz w:val="24"/>
        </w:rPr>
      </w:pPr>
      <w:r>
        <w:rPr>
          <w:rFonts w:eastAsia="Arial" w:cs="Arial" w:ascii="Arial" w:hAnsi="Arial"/>
          <w:b/>
          <w:i/>
          <w:sz w:val="24"/>
        </w:rPr>
        <w:t>A jogszabály alkalmazásához szükséges személyi, szervezeti, tárgyi és pénzügyi feltételek</w:t>
      </w:r>
    </w:p>
    <w:p>
      <w:pPr>
        <w:pStyle w:val="Normal"/>
        <w:spacing w:lineRule="auto" w:line="240" w:before="0" w:after="0"/>
        <w:ind w:left="720" w:hanging="0"/>
        <w:jc w:val="both"/>
        <w:rPr/>
      </w:pPr>
      <w:r>
        <w:rPr>
          <w:rFonts w:eastAsia="Arial" w:cs="Arial" w:ascii="Arial" w:hAnsi="Arial"/>
          <w:sz w:val="24"/>
        </w:rPr>
        <w:t>A jogszabály alkalmazásához szükséges személyi, szervezeti, tárgyi feltételek rendelkezésre állnak.</w:t>
      </w:r>
    </w:p>
    <w:p>
      <w:pPr>
        <w:sectPr>
          <w:type w:val="nextPage"/>
          <w:pgSz w:w="11906" w:h="16838"/>
          <w:pgMar w:left="1417" w:right="1417" w:header="0" w:top="1417" w:footer="0" w:bottom="1417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76" w:before="0" w:after="200"/>
        <w:jc w:val="center"/>
        <w:rPr>
          <w:rFonts w:ascii="Calibri" w:hAnsi="Calibri"/>
          <w:b/>
          <w:b/>
          <w:i/>
          <w:i/>
          <w:sz w:val="22"/>
          <w:lang w:val="en-US"/>
        </w:rPr>
      </w:pPr>
      <w:r>
        <w:rPr>
          <w:b/>
          <w:i/>
          <w:sz w:val="22"/>
          <w:lang w:val="en-US"/>
        </w:rPr>
        <w:t>INDOKOLÁS</w:t>
      </w:r>
    </w:p>
    <w:p>
      <w:pPr>
        <w:pStyle w:val="Normal"/>
        <w:spacing w:lineRule="auto" w:line="276" w:before="0" w:after="200"/>
        <w:rPr>
          <w:rFonts w:ascii="Calibri" w:hAnsi="Calibri"/>
          <w:sz w:val="22"/>
          <w:lang w:val="en-US"/>
        </w:rPr>
      </w:pPr>
      <w:r>
        <w:rPr>
          <w:sz w:val="22"/>
          <w:lang w:val="en-US"/>
        </w:rPr>
      </w:r>
    </w:p>
    <w:p>
      <w:pPr>
        <w:pStyle w:val="Normal"/>
        <w:spacing w:lineRule="auto" w:line="276" w:before="0" w:after="200"/>
        <w:jc w:val="both"/>
        <w:rPr/>
      </w:pPr>
      <w:r>
        <w:rPr>
          <w:rStyle w:val="Bekezdsalapbettpusa"/>
          <w:sz w:val="22"/>
          <w:lang w:val="en-US"/>
        </w:rPr>
        <w:t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</w:t>
      </w:r>
      <w:r>
        <w:rPr>
          <w:rStyle w:val="Bekezdsalapbettpusa"/>
          <w:sz w:val="22"/>
        </w:rPr>
        <w:t>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w:t>
      </w:r>
    </w:p>
    <w:p>
      <w:pPr>
        <w:pStyle w:val="Normal"/>
        <w:spacing w:lineRule="auto" w:line="276" w:before="0" w:after="200"/>
        <w:ind w:left="720" w:hanging="0"/>
        <w:jc w:val="both"/>
        <w:rPr/>
      </w:pPr>
      <w:r>
        <w:rPr>
          <w:rStyle w:val="Bekezdsalapbettpusa"/>
          <w:rFonts w:eastAsia="Arial" w:cs="Arial"/>
          <w:sz w:val="22"/>
          <w:lang w:val="en-US"/>
        </w:rPr>
        <w:t>Tisztelt Képviselő testület! A rendeletet módosítani kellett a bérkompenzáció, a közfoglalkoztatotti támogatás összegével, az ÁHT-n belüli megelőlegezés összegével,az októberi felmérésből adódóan a szünidei gyermekétkezésnél létszám növekedése miatti támogatás növekedéssel, a gyermekétkezés létszámának növekedése miatti támogatás növekedéssel. Szociális csomag vásárlás összegével,a kistelepülési önkormányzatok alacsony összegű fejlesztési támogatásával,ingatlan értékesítés összegével.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b/>
          <w:i/>
          <w:sz w:val="24"/>
        </w:rPr>
        <w:t>Kup, 2018. május 10.</w:t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24"/>
        </w:rPr>
      </w:pPr>
      <w:bookmarkStart w:id="0" w:name="_GoBack"/>
      <w:bookmarkStart w:id="1" w:name="_GoBack"/>
      <w:bookmarkEnd w:id="1"/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ab/>
        <w:tab/>
        <w:tab/>
        <w:tab/>
        <w:tab/>
        <w:tab/>
        <w:tab/>
        <w:t>Bóka Istvánné</w:t>
      </w:r>
    </w:p>
    <w:p>
      <w:pPr>
        <w:pStyle w:val="Normal"/>
        <w:spacing w:lineRule="auto" w:line="240" w:before="0" w:after="0"/>
        <w:rPr/>
      </w:pPr>
      <w:r>
        <w:rPr>
          <w:rFonts w:eastAsia="Arial" w:cs="Arial" w:ascii="Arial" w:hAnsi="Arial"/>
          <w:sz w:val="24"/>
        </w:rPr>
        <w:tab/>
        <w:tab/>
        <w:tab/>
        <w:tab/>
        <w:tab/>
        <w:tab/>
        <w:tab/>
        <w:tab/>
        <w:t xml:space="preserve">     jegyző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Arial" w:hAnsi="Arial" w:cs="Symbol"/>
      <w:b/>
      <w:sz w:val="24"/>
    </w:rPr>
  </w:style>
  <w:style w:type="character" w:styleId="ListLabel2">
    <w:name w:val="ListLabel 2"/>
    <w:qFormat/>
    <w:rPr>
      <w:rFonts w:ascii="Arial" w:hAnsi="Arial" w:cs="Symbol"/>
      <w:b/>
      <w:sz w:val="24"/>
    </w:rPr>
  </w:style>
  <w:style w:type="character" w:styleId="ListLabel3">
    <w:name w:val="ListLabel 3"/>
    <w:qFormat/>
    <w:rPr>
      <w:rFonts w:ascii="Arial" w:hAnsi="Arial" w:cs="Symbol"/>
      <w:b/>
      <w:sz w:val="24"/>
    </w:rPr>
  </w:style>
  <w:style w:type="character" w:styleId="ListLabel4">
    <w:name w:val="ListLabel 4"/>
    <w:qFormat/>
    <w:rPr>
      <w:rFonts w:ascii="Arial" w:hAnsi="Arial" w:cs="Symbol"/>
      <w:b/>
      <w:sz w:val="24"/>
    </w:rPr>
  </w:style>
  <w:style w:type="character" w:styleId="ListLabel5">
    <w:name w:val="ListLabel 5"/>
    <w:qFormat/>
    <w:rPr>
      <w:rFonts w:ascii="Arial" w:hAnsi="Arial" w:cs="Symbol"/>
      <w:b/>
      <w:sz w:val="24"/>
    </w:rPr>
  </w:style>
  <w:style w:type="character" w:styleId="ListLabel6">
    <w:name w:val="ListLabel 6"/>
    <w:qFormat/>
    <w:rPr>
      <w:rFonts w:ascii="Arial" w:hAnsi="Arial" w:cs="Symbol"/>
      <w:b/>
      <w:sz w:val="24"/>
    </w:rPr>
  </w:style>
  <w:style w:type="character" w:styleId="Bekezdsalapbettpusa">
    <w:name w:val="Bekezdés alapbetűtípusa"/>
    <w:qFormat/>
    <w:rPr/>
  </w:style>
  <w:style w:type="character" w:styleId="ListLabel7">
    <w:name w:val="ListLabel 7"/>
    <w:qFormat/>
    <w:rPr>
      <w:rFonts w:ascii="Arial" w:hAnsi="Arial" w:cs="Symbol"/>
      <w:b/>
      <w:sz w:val="24"/>
    </w:rPr>
  </w:style>
  <w:style w:type="character" w:styleId="ListLabel8">
    <w:name w:val="ListLabel 8"/>
    <w:qFormat/>
    <w:rPr>
      <w:rFonts w:ascii="Arial" w:hAnsi="Arial" w:cs="Symbol"/>
      <w:b/>
      <w:sz w:val="24"/>
    </w:rPr>
  </w:style>
  <w:style w:type="character" w:styleId="ListLabel9">
    <w:name w:val="ListLabel 9"/>
    <w:qFormat/>
    <w:rPr>
      <w:rFonts w:ascii="Arial" w:hAnsi="Arial" w:cs="Symbol"/>
      <w:b/>
      <w:sz w:val="24"/>
    </w:rPr>
  </w:style>
  <w:style w:type="character" w:styleId="ListLabel10">
    <w:name w:val="ListLabel 10"/>
    <w:qFormat/>
    <w:rPr>
      <w:rFonts w:ascii="Arial" w:hAnsi="Arial" w:cs="Symbol"/>
      <w:b/>
      <w:sz w:val="24"/>
    </w:rPr>
  </w:style>
  <w:style w:type="character" w:styleId="ListLabel11">
    <w:name w:val="ListLabel 11"/>
    <w:qFormat/>
    <w:rPr>
      <w:rFonts w:ascii="Arial" w:hAnsi="Arial" w:cs="Symbol"/>
      <w:b/>
      <w:sz w:val="24"/>
    </w:rPr>
  </w:style>
  <w:style w:type="character" w:styleId="ListLabel12">
    <w:name w:val="ListLabel 12"/>
    <w:qFormat/>
    <w:rPr>
      <w:rFonts w:ascii="Arial" w:hAnsi="Arial" w:cs="Symbol"/>
      <w:b/>
      <w:sz w:val="24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LibreOffice/5.2.7.2$Windows_x86 LibreOffice_project/2b7f1e640c46ceb28adf43ee075a6e8b8439ed10</Application>
  <Pages>2</Pages>
  <Words>416</Words>
  <Characters>3286</Characters>
  <CharactersWithSpaces>3695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2017-12-04T19:35:00Z</dcterms:created>
  <dc:creator/>
  <dc:description/>
  <dc:language>hu-HU</dc:language>
  <cp:lastModifiedBy/>
  <dcterms:modified xsi:type="dcterms:W3CDTF">2018-05-11T09:59:02Z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