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msor1"/>
        <w:spacing w:before="120" w:after="120"/>
        <w:jc w:val="center"/>
        <w:rPr/>
      </w:pPr>
      <w:r>
        <w:rPr>
          <w:caps/>
        </w:rPr>
        <w:t xml:space="preserve">KUP </w:t>
      </w:r>
    </w:p>
    <w:p>
      <w:pPr>
        <w:pStyle w:val="Cmsor1"/>
        <w:jc w:val="center"/>
        <w:rPr>
          <w:caps/>
        </w:rPr>
      </w:pPr>
      <w:bookmarkStart w:id="0" w:name="_Toc59599617"/>
      <w:bookmarkStart w:id="1" w:name="_Toc59855270"/>
      <w:bookmarkEnd w:id="0"/>
      <w:bookmarkEnd w:id="1"/>
      <w:r>
        <w:rPr>
          <w:caps/>
        </w:rPr>
        <w:t>ÖNKORMÁNYZAT 2018. évi belső ELLENŐRZÉSI TERV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iCs/>
        </w:rPr>
        <w:t xml:space="preserve">Az éves ellenőrzési terv tartalmi elemeit </w:t>
      </w:r>
      <w:r>
        <w:rPr/>
        <w:t xml:space="preserve">a 370/2011. (XII. 31.) Korm. rendelet, valamint az államháztartási belső kontroll standardok és gyakorlati útmutató (NGM 2017. szeptember 18.) határozza meg. 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tbl>
      <w:tblPr>
        <w:tblW w:w="2650" w:type="pct"/>
        <w:jc w:val="left"/>
        <w:tblInd w:w="-4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113" w:type="dxa"/>
          <w:right w:w="108" w:type="dxa"/>
        </w:tblCellMar>
        <w:tblLook w:firstRow="0" w:noVBand="0" w:lastRow="0" w:firstColumn="0" w:lastColumn="0" w:noHBand="0" w:val="0000"/>
      </w:tblPr>
      <w:tblGrid>
        <w:gridCol w:w="7421"/>
      </w:tblGrid>
      <w:tr>
        <w:trPr>
          <w:tblHeader w:val="true"/>
          <w:cantSplit w:val="true"/>
        </w:trPr>
        <w:tc>
          <w:tcPr>
            <w:tcW w:w="7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Lfej"/>
              <w:jc w:val="center"/>
              <w:rPr>
                <w:b/>
                <w:b/>
                <w:bCs/>
                <w:szCs w:val="23"/>
                <w:lang w:val="hu-HU"/>
              </w:rPr>
            </w:pPr>
            <w:r>
              <w:rPr>
                <w:b/>
                <w:bCs/>
                <w:szCs w:val="23"/>
                <w:lang w:val="hu-HU"/>
              </w:rPr>
              <w:t>Ellenőrzési tervet megalapozó elemzés címe, időpontja</w:t>
            </w:r>
          </w:p>
        </w:tc>
      </w:tr>
      <w:tr>
        <w:trPr>
          <w:cantSplit w:val="true"/>
        </w:trPr>
        <w:tc>
          <w:tcPr>
            <w:tcW w:w="7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  <w:bottom w:w="0" w:type="dxa"/>
            </w:tcMar>
          </w:tcPr>
          <w:p>
            <w:pPr>
              <w:pStyle w:val="Lfej"/>
              <w:jc w:val="both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cs="Arial" w:ascii="Arial" w:hAnsi="Arial"/>
                <w:sz w:val="20"/>
                <w:szCs w:val="23"/>
                <w:lang w:val="hu-HU"/>
              </w:rPr>
              <w:t>Kockázatelemzés (lista, mátrix) 2017.</w:t>
            </w:r>
          </w:p>
        </w:tc>
      </w:tr>
    </w:tbl>
    <w:p>
      <w:pPr>
        <w:pStyle w:val="Normal"/>
        <w:jc w:val="center"/>
        <w:rPr>
          <w:b/>
          <w:b/>
          <w:bCs/>
          <w:caps/>
        </w:rPr>
      </w:pPr>
      <w:r>
        <w:rPr>
          <w:b/>
          <w:bCs/>
          <w:caps/>
        </w:rPr>
      </w:r>
    </w:p>
    <w:p>
      <w:pPr>
        <w:pStyle w:val="Normal"/>
        <w:jc w:val="center"/>
        <w:rPr>
          <w:b/>
          <w:b/>
          <w:bCs/>
          <w:caps/>
        </w:rPr>
      </w:pPr>
      <w:r>
        <w:rPr>
          <w:b/>
          <w:bCs/>
          <w:caps/>
        </w:rPr>
      </w:r>
    </w:p>
    <w:p>
      <w:pPr>
        <w:pStyle w:val="Lfej"/>
        <w:jc w:val="center"/>
        <w:rPr>
          <w:szCs w:val="23"/>
          <w:lang w:val="hu-HU"/>
        </w:rPr>
      </w:pPr>
      <w:r>
        <w:rPr>
          <w:szCs w:val="23"/>
          <w:lang w:val="hu-HU"/>
        </w:rPr>
      </w:r>
    </w:p>
    <w:p>
      <w:pPr>
        <w:pStyle w:val="Normal"/>
        <w:jc w:val="both"/>
        <w:rPr/>
      </w:pPr>
      <w:r>
        <w:rPr/>
        <mc:AlternateContent>
          <mc:Choice Requires="wps">
            <w:drawing>
              <wp:anchor behindDoc="0" distT="0" distB="0" distL="89535" distR="89535" simplePos="0" locked="0" layoutInCell="1" allowOverlap="1" relativeHeight="4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8891270" cy="6746875"/>
                <wp:effectExtent l="0" t="0" r="0" b="0"/>
                <wp:wrapSquare wrapText="bothSides"/>
                <wp:docPr id="1" name="Keret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560" cy="674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Ind w:w="0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top w:w="0" w:type="dxa"/>
                                <w:left w:w="98" w:type="dxa"/>
                                <w:bottom w:w="113" w:type="dxa"/>
                                <w:right w:w="108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2181"/>
                              <w:gridCol w:w="3092"/>
                              <w:gridCol w:w="2728"/>
                              <w:gridCol w:w="2183"/>
                              <w:gridCol w:w="1820"/>
                              <w:gridCol w:w="1998"/>
                            </w:tblGrid>
                            <w:tr>
                              <w:trPr>
                                <w:tblHeader w:val="true"/>
                                <w:cantSplit w:val="true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Cs w:val="23"/>
                                      <w:lang w:val="hu-HU"/>
                                    </w:rPr>
                                    <w:t xml:space="preserve">Ellenőrzendő folyamatok és szervezetek </w:t>
                                  </w:r>
                                </w:p>
                              </w:tc>
                              <w:tc>
                                <w:tcPr>
                                  <w:tcW w:w="30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Cs w:val="23"/>
                                      <w:lang w:val="hu-HU"/>
                                    </w:rPr>
                                    <w:t xml:space="preserve">Az ellenőrzésre vonatkozó  stratégia </w:t>
                                  </w:r>
                                  <w:r>
                                    <w:rPr>
                                      <w:color w:val="auto"/>
                                      <w:szCs w:val="23"/>
                                      <w:lang w:val="hu-HU"/>
                                    </w:rPr>
                                    <w:t>(ellenőrzés célja, tárgya, terjedelme, ellenőrzött időszak)</w:t>
                                  </w:r>
                                </w:p>
                              </w:tc>
                              <w:tc>
                                <w:tcPr>
                                  <w:tcW w:w="272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Cs w:val="23"/>
                                      <w:lang w:val="hu-HU"/>
                                    </w:rPr>
                                    <w:t>Azonosított kockázati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Cs w:val="23"/>
                                      <w:lang w:val="hu-H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Cs w:val="23"/>
                                      <w:lang w:val="hu-HU"/>
                                    </w:rPr>
                                    <w:t xml:space="preserve">Tényezők </w:t>
                                  </w:r>
                                </w:p>
                              </w:tc>
                              <w:tc>
                                <w:tcPr>
                                  <w:tcW w:w="218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Cs w:val="23"/>
                                      <w:lang w:val="hu-HU"/>
                                    </w:rPr>
                                    <w:t xml:space="preserve">Az ellenőrzés típusa 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top w:w="113" w:type="dxa"/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Cs w:val="23"/>
                                      <w:lang w:val="hu-HU"/>
                                    </w:rPr>
                                    <w:t xml:space="preserve">Az ellenőrzés ütemezése </w:t>
                                  </w:r>
                                </w:p>
                              </w:tc>
                              <w:tc>
                                <w:tcPr>
                                  <w:tcW w:w="199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Cs w:val="23"/>
                                      <w:lang w:val="hu-HU"/>
                                    </w:rPr>
                                    <w:t xml:space="preserve">Erőforrás szükségletek </w:t>
                                  </w:r>
                                </w:p>
                              </w:tc>
                            </w:tr>
                            <w:tr>
                              <w:trPr>
                                <w:cantSplit w:val="true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/>
                                      <w:color w:val="auto"/>
                                      <w:sz w:val="20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color w:val="auto"/>
                                      <w:sz w:val="20"/>
                                      <w:szCs w:val="23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/>
                                      <w:color w:val="auto"/>
                                      <w:sz w:val="20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color w:val="auto"/>
                                      <w:sz w:val="20"/>
                                      <w:szCs w:val="23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auto"/>
                                    </w:rPr>
                                    <w:t>Pénzkezelés, pénzgazdálkodás ellenőrzése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cs="Arial"/>
                                      <w:b/>
                                      <w:b/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0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0"/>
                                      <w:lang w:val="hu-H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30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Cél: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Szabályozottság, szabályszerűség ellenőrzése</w:t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Tárgya: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 Bank, pénztár, szabályzat</w:t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Időszak: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2017. év</w:t>
                                  </w:r>
                                </w:p>
                              </w:tc>
                              <w:tc>
                                <w:tcPr>
                                  <w:tcW w:w="272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zvegtrzs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A közpénz hiányosan, vagy nem teljes körűen alátámasztott felhasználása</w:t>
                                  </w:r>
                                </w:p>
                                <w:p>
                                  <w:pPr>
                                    <w:pStyle w:val="Szvegtrzs"/>
                                    <w:jc w:val="center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Szvegtrzs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Nem a helyi szabályzatnak megfelelő pénzkezelés</w:t>
                                  </w:r>
                                </w:p>
                              </w:tc>
                              <w:tc>
                                <w:tcPr>
                                  <w:tcW w:w="218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zvegtrzs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Szabályszerűségi, és pénzügyi ellenőrzés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2018. I.– III. hó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Jelentés: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2018. április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30.</w:t>
                                  </w:r>
                                </w:p>
                              </w:tc>
                              <w:tc>
                                <w:tcPr>
                                  <w:tcW w:w="199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5 szakértői nap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(1 vizsgálatvezető,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2 ellenőr)</w:t>
                                  </w:r>
                                </w:p>
                              </w:tc>
                            </w:tr>
                            <w:tr>
                              <w:trPr>
                                <w:cantSplit w:val="true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color w:val="auto"/>
                                      <w:sz w:val="20"/>
                                      <w:szCs w:val="20"/>
                                    </w:rPr>
                                    <w:t xml:space="preserve">Államháztartáson kívüli, vagy állam-háztartáson belüli szervezetnek, sze-mélynek vagyon-kezelésbe, bérbe adott eszközök számviteli nyilván-tartásának vizsgálata </w:t>
                                  </w:r>
                                </w:p>
                              </w:tc>
                              <w:tc>
                                <w:tcPr>
                                  <w:tcW w:w="30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Cél: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 számviteli szabályok betartása</w:t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Tárgya: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 a vagyonkezelésbe, bérbe adott eszközök</w:t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Terjedelme: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Önkormányzat </w:t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Időszak: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2017.</w:t>
                                  </w:r>
                                </w:p>
                              </w:tc>
                              <w:tc>
                                <w:tcPr>
                                  <w:tcW w:w="272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zvegtrzs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Az eltérő, speciális számviteli kezelésből adódó hibaforrások</w:t>
                                  </w:r>
                                </w:p>
                              </w:tc>
                              <w:tc>
                                <w:tcPr>
                                  <w:tcW w:w="218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zvegtrzs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Szabályszerűségi ellenőrzés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2018. IV. 1 – VI.30.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Jelentés: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2018. július 31.</w:t>
                                  </w:r>
                                </w:p>
                              </w:tc>
                              <w:tc>
                                <w:tcPr>
                                  <w:tcW w:w="199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4 szakértői nap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(1 vizsgálatvezető,   2 ellenőr)</w:t>
                                  </w:r>
                                </w:p>
                              </w:tc>
                            </w:tr>
                            <w:tr>
                              <w:trPr>
                                <w:cantSplit w:val="true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color w:val="auto"/>
                                      <w:sz w:val="20"/>
                                      <w:szCs w:val="23"/>
                                    </w:rPr>
                                    <w:t>A folyamatos teljesítés vizsgálata a be és kimenő számlaforgalomban. Az Áfa törvény módosítása, utáni számlázási gyakorlat ellenőrzése</w:t>
                                  </w:r>
                                </w:p>
                              </w:tc>
                              <w:tc>
                                <w:tcPr>
                                  <w:tcW w:w="30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Cél: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 jogszabályi előírások betartása</w:t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Tárgya: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 Kimenő, és bejövő számlák</w:t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Terjedelme: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Önkormányzat</w:t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color w:val="auto"/>
                                      <w:sz w:val="20"/>
                                      <w:szCs w:val="23"/>
                                      <w:u w:val="single"/>
                                      <w:lang w:val="hu-HU"/>
                                    </w:rPr>
                                    <w:t>Időszak:</w:t>
                                  </w: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 2017.</w:t>
                                  </w:r>
                                </w:p>
                              </w:tc>
                              <w:tc>
                                <w:tcPr>
                                  <w:tcW w:w="272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A teljesítési idő hibás rögzítése, hibás áfa bevallást eredményezhet</w:t>
                                  </w:r>
                                </w:p>
                              </w:tc>
                              <w:tc>
                                <w:tcPr>
                                  <w:tcW w:w="218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Szabályszerűségi ellenőrzés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2018. IX. 1 – X.31.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Jelentés: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2018. november 20.</w:t>
                                  </w:r>
                                </w:p>
                              </w:tc>
                              <w:tc>
                                <w:tcPr>
                                  <w:tcW w:w="199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4 szakértői nap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(1 vizsgálatvezető,   2 ellenőr)</w:t>
                                  </w:r>
                                </w:p>
                              </w:tc>
                            </w:tr>
                            <w:tr>
                              <w:trPr>
                                <w:cantSplit w:val="true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Tartalék időkeret</w:t>
                                  </w:r>
                                </w:p>
                              </w:tc>
                              <w:tc>
                                <w:tcPr>
                                  <w:tcW w:w="30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b/>
                                      <w:b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72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both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Rendkívüli igények teljesítése</w:t>
                                  </w:r>
                                </w:p>
                              </w:tc>
                              <w:tc>
                                <w:tcPr>
                                  <w:tcW w:w="218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2018. év</w:t>
                                  </w:r>
                                </w:p>
                              </w:tc>
                              <w:tc>
                                <w:tcPr>
                                  <w:tcW w:w="199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2 szakértői nap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 xml:space="preserve">(1 vizsgálatvezető, 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1 ellenőr)</w:t>
                                  </w:r>
                                </w:p>
                              </w:tc>
                            </w:tr>
                            <w:tr>
                              <w:trPr>
                                <w:cantSplit w:val="true"/>
                              </w:trPr>
                              <w:tc>
                                <w:tcPr>
                                  <w:tcW w:w="218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rPr>
                                      <w:color w:val="auto"/>
                                    </w:rPr>
                                  </w:pPr>
                                  <w:bookmarkStart w:id="2" w:name="__UnoMark__357_1678197198"/>
                                  <w:bookmarkStart w:id="3" w:name="__UnoMark__356_1678197198"/>
                                  <w:bookmarkEnd w:id="2"/>
                                  <w:bookmarkEnd w:id="3"/>
                                  <w:r>
                                    <w:rPr>
                                      <w:rFonts w:cs="Arial" w:ascii="Arial" w:hAnsi="Arial"/>
                                      <w:b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Összefoglaló jelentés a 2018. évi belső ellenőrzésről</w:t>
                                  </w:r>
                                </w:p>
                              </w:tc>
                              <w:tc>
                                <w:tcPr>
                                  <w:tcW w:w="30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bookmarkStart w:id="4" w:name="__UnoMark__358_1678197198"/>
                                  <w:bookmarkStart w:id="5" w:name="__UnoMark__359_1678197198"/>
                                  <w:bookmarkStart w:id="6" w:name="__UnoMark__358_1678197198"/>
                                  <w:bookmarkStart w:id="7" w:name="__UnoMark__359_1678197198"/>
                                  <w:bookmarkEnd w:id="6"/>
                                  <w:bookmarkEnd w:id="7"/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72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both"/>
                                    <w:rPr>
                                      <w:color w:val="auto"/>
                                    </w:rPr>
                                  </w:pPr>
                                  <w:bookmarkStart w:id="8" w:name="__UnoMark__361_1678197198"/>
                                  <w:bookmarkStart w:id="9" w:name="__UnoMark__360_1678197198"/>
                                  <w:bookmarkEnd w:id="8"/>
                                  <w:bookmarkEnd w:id="9"/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Kitűzött célok, a terv hatékony megvalósítása</w:t>
                                  </w:r>
                                </w:p>
                              </w:tc>
                              <w:tc>
                                <w:tcPr>
                                  <w:tcW w:w="218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  <w:bottom w:w="0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bookmarkStart w:id="10" w:name="__UnoMark__362_1678197198"/>
                                  <w:bookmarkStart w:id="11" w:name="__UnoMark__363_1678197198"/>
                                  <w:bookmarkStart w:id="12" w:name="__UnoMark__362_1678197198"/>
                                  <w:bookmarkStart w:id="13" w:name="__UnoMark__363_1678197198"/>
                                  <w:bookmarkEnd w:id="12"/>
                                  <w:bookmarkEnd w:id="13"/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4" w:name="__UnoMark__364_1678197198"/>
                                  <w:bookmarkEnd w:id="14"/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2019. január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rFonts w:ascii="Arial" w:hAnsi="Arial" w:cs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pPr>
                                  <w:bookmarkStart w:id="15" w:name="__UnoMark__365_1678197198"/>
                                  <w:bookmarkStart w:id="16" w:name="__UnoMark__365_1678197198"/>
                                  <w:bookmarkEnd w:id="16"/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9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top w:w="113" w:type="dxa"/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7" w:name="__UnoMark__366_1678197198"/>
                                  <w:bookmarkEnd w:id="17"/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1 szakértői nap</w:t>
                                  </w:r>
                                </w:p>
                                <w:p>
                                  <w:pPr>
                                    <w:pStyle w:val="Lfej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auto"/>
                                      <w:sz w:val="20"/>
                                      <w:szCs w:val="23"/>
                                      <w:lang w:val="hu-HU"/>
                                    </w:rPr>
                                    <w:t>(Belső ellenőrzési vezető )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Kerettartalom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</wp:anchor>
            </w:drawing>
          </mc:Choice>
          <mc:Fallback>
            <w:pict>
              <v:rect id="shape_0" ID="Keret2" stroked="f" style="position:absolute;margin-left:0pt;margin-top:0.05pt;width:700pt;height:531.15pt;mso-position-horizontal:center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5000" w:type="pct"/>
                        <w:jc w:val="center"/>
                        <w:tblInd w:w="0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top w:w="0" w:type="dxa"/>
                          <w:left w:w="98" w:type="dxa"/>
                          <w:bottom w:w="113" w:type="dxa"/>
                          <w:right w:w="108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2181"/>
                        <w:gridCol w:w="3092"/>
                        <w:gridCol w:w="2728"/>
                        <w:gridCol w:w="2183"/>
                        <w:gridCol w:w="1820"/>
                        <w:gridCol w:w="1998"/>
                      </w:tblGrid>
                      <w:tr>
                        <w:trPr>
                          <w:tblHeader w:val="true"/>
                          <w:cantSplit w:val="true"/>
                        </w:trPr>
                        <w:tc>
                          <w:tcPr>
                            <w:tcW w:w="218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Cs w:val="23"/>
                                <w:lang w:val="hu-HU"/>
                              </w:rPr>
                              <w:t xml:space="preserve">Ellenőrzendő folyamatok és szervezetek </w:t>
                            </w:r>
                          </w:p>
                        </w:tc>
                        <w:tc>
                          <w:tcPr>
                            <w:tcW w:w="30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Cs w:val="23"/>
                                <w:lang w:val="hu-HU"/>
                              </w:rPr>
                              <w:t xml:space="preserve">Az ellenőrzésre vonatkozó  stratégia </w:t>
                            </w:r>
                            <w:r>
                              <w:rPr>
                                <w:color w:val="auto"/>
                                <w:szCs w:val="23"/>
                                <w:lang w:val="hu-HU"/>
                              </w:rPr>
                              <w:t>(ellenőrzés célja, tárgya, terjedelme, ellenőrzött időszak)</w:t>
                            </w:r>
                          </w:p>
                        </w:tc>
                        <w:tc>
                          <w:tcPr>
                            <w:tcW w:w="272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Cs w:val="23"/>
                                <w:lang w:val="hu-HU"/>
                              </w:rPr>
                              <w:t>Azonosított kockázati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Cs w:val="23"/>
                                <w:lang w:val="hu-H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auto"/>
                                <w:szCs w:val="23"/>
                                <w:lang w:val="hu-HU"/>
                              </w:rPr>
                              <w:t xml:space="preserve">Tényezők </w:t>
                            </w:r>
                          </w:p>
                        </w:tc>
                        <w:tc>
                          <w:tcPr>
                            <w:tcW w:w="218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Cs w:val="23"/>
                                <w:lang w:val="hu-HU"/>
                              </w:rPr>
                              <w:t xml:space="preserve">Az ellenőrzés típusa 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top w:w="113" w:type="dxa"/>
                              <w:left w:w="98" w:type="dxa"/>
                            </w:tcMar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Cs w:val="23"/>
                                <w:lang w:val="hu-HU"/>
                              </w:rPr>
                              <w:t xml:space="preserve">Az ellenőrzés ütemezése </w:t>
                            </w:r>
                          </w:p>
                        </w:tc>
                        <w:tc>
                          <w:tcPr>
                            <w:tcW w:w="199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Cs w:val="23"/>
                                <w:lang w:val="hu-HU"/>
                              </w:rPr>
                              <w:t xml:space="preserve">Erőforrás szükségletek </w:t>
                            </w:r>
                          </w:p>
                        </w:tc>
                      </w:tr>
                      <w:tr>
                        <w:trPr>
                          <w:cantSplit w:val="true"/>
                        </w:trPr>
                        <w:tc>
                          <w:tcPr>
                            <w:tcW w:w="218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color w:val="auto"/>
                                <w:sz w:val="20"/>
                                <w:szCs w:val="23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auto"/>
                                <w:sz w:val="20"/>
                                <w:szCs w:val="23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color w:val="auto"/>
                                <w:sz w:val="20"/>
                                <w:szCs w:val="23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auto"/>
                                <w:sz w:val="20"/>
                                <w:szCs w:val="23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auto"/>
                              </w:rPr>
                              <w:t>Pénzkezelés, pénzgazdálkodás ellenőrzése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cs="Arial"/>
                                <w:b/>
                                <w:b/>
                                <w:color w:val="auto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0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0"/>
                                <w:lang w:val="hu-HU"/>
                              </w:rPr>
                            </w:r>
                          </w:p>
                        </w:tc>
                        <w:tc>
                          <w:tcPr>
                            <w:tcW w:w="30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</w:tcPr>
                          <w:p>
                            <w:pPr>
                              <w:pStyle w:val="Lfej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Cél: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Szabályozottság, szabályszerűség ellenőrzése</w:t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Tárgya: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 Bank, pénztár, szabályzat</w:t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Időszak: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2017. év</w:t>
                            </w:r>
                          </w:p>
                        </w:tc>
                        <w:tc>
                          <w:tcPr>
                            <w:tcW w:w="272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Szvegtrzs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A közpénz hiányosan, vagy nem teljes körűen alátámasztott felhasználása</w:t>
                            </w:r>
                          </w:p>
                          <w:p>
                            <w:pPr>
                              <w:pStyle w:val="Szvegtrzs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Szvegtrzs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Nem a helyi szabályzatnak megfelelő pénzkezelés</w:t>
                            </w:r>
                          </w:p>
                        </w:tc>
                        <w:tc>
                          <w:tcPr>
                            <w:tcW w:w="218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Szvegtrzs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Szabályszerűségi, és pénzügyi ellenőrzés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2018. I.– III. hó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Jelentés: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2018. április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30.</w:t>
                            </w:r>
                          </w:p>
                        </w:tc>
                        <w:tc>
                          <w:tcPr>
                            <w:tcW w:w="199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5 szakértői nap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(1 vizsgálatvezető,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 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2 ellenőr)</w:t>
                            </w:r>
                          </w:p>
                        </w:tc>
                      </w:tr>
                      <w:tr>
                        <w:trPr>
                          <w:cantSplit w:val="true"/>
                        </w:trPr>
                        <w:tc>
                          <w:tcPr>
                            <w:tcW w:w="218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auto"/>
                                <w:sz w:val="20"/>
                                <w:szCs w:val="20"/>
                              </w:rPr>
                              <w:t xml:space="preserve">Államháztartáson kívüli, vagy állam-háztartáson belüli szervezetnek, sze-mélynek vagyon-kezelésbe, bérbe adott eszközök számviteli nyilván-tartásának vizsgálata </w:t>
                            </w:r>
                          </w:p>
                        </w:tc>
                        <w:tc>
                          <w:tcPr>
                            <w:tcW w:w="30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Cél: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 számviteli szabályok betartása</w:t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Tárgya: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 a vagyonkezelésbe, bérbe adott eszközök</w:t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Terjedelme: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Önkormányzat </w:t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Időszak: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2017.</w:t>
                            </w:r>
                          </w:p>
                        </w:tc>
                        <w:tc>
                          <w:tcPr>
                            <w:tcW w:w="272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Szvegtrzs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Az eltérő, speciális számviteli kezelésből adódó hibaforrások</w:t>
                            </w:r>
                          </w:p>
                        </w:tc>
                        <w:tc>
                          <w:tcPr>
                            <w:tcW w:w="218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Szvegtrzs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Szabályszerűségi ellenőrzés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2018. IV. 1 – VI.30.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Jelentés: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2018. július 31.</w:t>
                            </w:r>
                          </w:p>
                        </w:tc>
                        <w:tc>
                          <w:tcPr>
                            <w:tcW w:w="199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4 szakértői nap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(1 vizsgálatvezető,   2 ellenőr)</w:t>
                            </w:r>
                          </w:p>
                        </w:tc>
                      </w:tr>
                      <w:tr>
                        <w:trPr>
                          <w:cantSplit w:val="true"/>
                        </w:trPr>
                        <w:tc>
                          <w:tcPr>
                            <w:tcW w:w="218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auto"/>
                                <w:sz w:val="20"/>
                                <w:szCs w:val="23"/>
                              </w:rPr>
                              <w:t>A folyamatos teljesítés vizsgálata a be és kimenő számlaforgalomban. Az Áfa törvény módosítása, utáni számlázási gyakorlat ellenőrzése</w:t>
                            </w:r>
                          </w:p>
                        </w:tc>
                        <w:tc>
                          <w:tcPr>
                            <w:tcW w:w="30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</w:tcPr>
                          <w:p>
                            <w:pPr>
                              <w:pStyle w:val="Lfej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Cél: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 jogszabályi előírások betartása</w:t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Tárgya: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 Kimenő, és bejövő számlák</w:t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Terjedelme: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Önkormányzat</w:t>
                            </w:r>
                          </w:p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auto"/>
                                <w:sz w:val="20"/>
                                <w:szCs w:val="23"/>
                                <w:u w:val="single"/>
                                <w:lang w:val="hu-HU"/>
                              </w:rPr>
                              <w:t>Időszak:</w:t>
                            </w: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 2017.</w:t>
                            </w:r>
                          </w:p>
                        </w:tc>
                        <w:tc>
                          <w:tcPr>
                            <w:tcW w:w="272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A teljesítési idő hibás rögzítése, hibás áfa bevallást eredményezhet</w:t>
                            </w:r>
                          </w:p>
                        </w:tc>
                        <w:tc>
                          <w:tcPr>
                            <w:tcW w:w="218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Szabályszerűségi ellenőrzés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2018. IX. 1 – X.31.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Jelentés: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2018. november 20.</w:t>
                            </w:r>
                          </w:p>
                        </w:tc>
                        <w:tc>
                          <w:tcPr>
                            <w:tcW w:w="199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4 szakértői nap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(1 vizsgálatvezető,   2 ellenőr)</w:t>
                            </w:r>
                          </w:p>
                        </w:tc>
                      </w:tr>
                      <w:tr>
                        <w:trPr>
                          <w:cantSplit w:val="true"/>
                        </w:trPr>
                        <w:tc>
                          <w:tcPr>
                            <w:tcW w:w="218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Tartalék időkeret</w:t>
                            </w:r>
                          </w:p>
                        </w:tc>
                        <w:tc>
                          <w:tcPr>
                            <w:tcW w:w="30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</w:tcPr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b/>
                                <w:b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</w:tc>
                        <w:tc>
                          <w:tcPr>
                            <w:tcW w:w="272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Rendkívüli igények teljesítése</w:t>
                            </w:r>
                          </w:p>
                        </w:tc>
                        <w:tc>
                          <w:tcPr>
                            <w:tcW w:w="218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98" w:type="dxa"/>
                            </w:tcMar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2018. év</w:t>
                            </w:r>
                          </w:p>
                        </w:tc>
                        <w:tc>
                          <w:tcPr>
                            <w:tcW w:w="199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98" w:type="dxa"/>
                            </w:tcMar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2 szakértői nap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 xml:space="preserve">(1 vizsgálatvezető, 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1 ellenőr)</w:t>
                            </w:r>
                          </w:p>
                        </w:tc>
                      </w:tr>
                      <w:tr>
                        <w:trPr>
                          <w:cantSplit w:val="true"/>
                        </w:trPr>
                        <w:tc>
                          <w:tcPr>
                            <w:tcW w:w="218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rPr>
                                <w:color w:val="auto"/>
                              </w:rPr>
                            </w:pPr>
                            <w:bookmarkStart w:id="18" w:name="__UnoMark__357_1678197198"/>
                            <w:bookmarkStart w:id="19" w:name="__UnoMark__356_1678197198"/>
                            <w:bookmarkEnd w:id="18"/>
                            <w:bookmarkEnd w:id="19"/>
                            <w:r>
                              <w:rPr>
                                <w:rFonts w:cs="Arial" w:ascii="Arial" w:hAnsi="Arial"/>
                                <w:b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Összefoglaló jelentés a 2018. évi belső ellenőrzésről</w:t>
                            </w:r>
                          </w:p>
                        </w:tc>
                        <w:tc>
                          <w:tcPr>
                            <w:tcW w:w="30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bookmarkStart w:id="20" w:name="__UnoMark__358_1678197198"/>
                            <w:bookmarkStart w:id="21" w:name="__UnoMark__359_1678197198"/>
                            <w:bookmarkStart w:id="22" w:name="__UnoMark__358_1678197198"/>
                            <w:bookmarkStart w:id="23" w:name="__UnoMark__359_1678197198"/>
                            <w:bookmarkEnd w:id="22"/>
                            <w:bookmarkEnd w:id="23"/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</w:tc>
                        <w:tc>
                          <w:tcPr>
                            <w:tcW w:w="272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both"/>
                              <w:rPr>
                                <w:color w:val="auto"/>
                              </w:rPr>
                            </w:pPr>
                            <w:bookmarkStart w:id="24" w:name="__UnoMark__361_1678197198"/>
                            <w:bookmarkStart w:id="25" w:name="__UnoMark__360_1678197198"/>
                            <w:bookmarkEnd w:id="24"/>
                            <w:bookmarkEnd w:id="25"/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Kitűzött célok, a terv hatékony megvalósítása</w:t>
                            </w:r>
                          </w:p>
                        </w:tc>
                        <w:tc>
                          <w:tcPr>
                            <w:tcW w:w="218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  <w:bottom w:w="0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bookmarkStart w:id="26" w:name="__UnoMark__362_1678197198"/>
                            <w:bookmarkStart w:id="27" w:name="__UnoMark__363_1678197198"/>
                            <w:bookmarkStart w:id="28" w:name="__UnoMark__362_1678197198"/>
                            <w:bookmarkStart w:id="29" w:name="__UnoMark__363_1678197198"/>
                            <w:bookmarkEnd w:id="28"/>
                            <w:bookmarkEnd w:id="29"/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bookmarkStart w:id="30" w:name="__UnoMark__364_1678197198"/>
                            <w:bookmarkEnd w:id="30"/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2019. január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pPr>
                            <w:bookmarkStart w:id="31" w:name="__UnoMark__365_1678197198"/>
                            <w:bookmarkStart w:id="32" w:name="__UnoMark__365_1678197198"/>
                            <w:bookmarkEnd w:id="32"/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</w:r>
                          </w:p>
                        </w:tc>
                        <w:tc>
                          <w:tcPr>
                            <w:tcW w:w="199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top w:w="113" w:type="dxa"/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bookmarkStart w:id="33" w:name="__UnoMark__366_1678197198"/>
                            <w:bookmarkEnd w:id="33"/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1 szakértői nap</w:t>
                            </w:r>
                          </w:p>
                          <w:p>
                            <w:pPr>
                              <w:pStyle w:val="Lfej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auto"/>
                                <w:sz w:val="20"/>
                                <w:szCs w:val="23"/>
                                <w:lang w:val="hu-HU"/>
                              </w:rPr>
                              <w:t>(Belső ellenőrzési vezető )</w:t>
                            </w:r>
                          </w:p>
                        </w:tc>
                      </w:tr>
                    </w:tbl>
                    <w:p>
                      <w:pPr>
                        <w:pStyle w:val="Kerettartalom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Kockázatelemzésünk alapján a legfontosabb cél a bevételek hatékony, és ellenőrizhető felhasználása. A beszámoló teljes körű vizsgálata több éve fix téma volt, ezért idén speciálisabb, de a törvényes működéshez szükséges feladatokra koncentrálunk. </w:t>
      </w:r>
    </w:p>
    <w:p>
      <w:pPr>
        <w:pStyle w:val="Normal"/>
        <w:jc w:val="both"/>
        <w:rPr/>
      </w:pPr>
      <w:r>
        <w:rPr/>
        <w:t>A bizonylati fegyelem, folyamatba épített kontrollok ellenőrzésére, és a pénzeszközök szabályos felhasználásának vizsgálata során a pénztári, és banki bizonylatokat ellenőrizzük, illetve a hozzájuk kapcsolódó kiegészítő dokumentációt.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2018. évben a speciális számviteli-adózási területet ellenőrzése során a folyamatos teljesítés ÁFA törvény szerinti szabályozottságának gyakorlati alkalmazást kívánjuk ellenőrizni. </w:t>
      </w:r>
    </w:p>
    <w:p>
      <w:pPr>
        <w:pStyle w:val="Normal"/>
        <w:jc w:val="both"/>
        <w:rPr/>
      </w:pPr>
      <w:r>
        <w:rPr/>
        <w:t>További, nagyon aktuális speciális számviteli területet is ellenőrzés alá kívánunk vonni, ezért tartalmazza programunk a vagyonkezelésbe, bérbe adott eszközök számviteli nyilvántartásának kontrollját. Itt speciális szabályok érvényesek, melyek alkalmazására az elmúlt években nagy szükség volt, és a jövőben is szükség lesz.</w:t>
      </w:r>
    </w:p>
    <w:p>
      <w:pPr>
        <w:pStyle w:val="Normal"/>
        <w:jc w:val="both"/>
        <w:rPr/>
      </w:pPr>
      <w:r>
        <w:rPr/>
        <w:t xml:space="preserve"> </w:t>
      </w:r>
    </w:p>
    <w:p>
      <w:pPr>
        <w:pStyle w:val="Normal"/>
        <w:jc w:val="both"/>
        <w:rPr/>
      </w:pPr>
      <w:r>
        <w:rPr/>
        <w:t>Ellenőrzése</w:t>
      </w:r>
      <w:bookmarkStart w:id="34" w:name="_GoBack"/>
      <w:bookmarkEnd w:id="34"/>
      <w:r>
        <w:rPr/>
        <w:t>ink megállapításai alapján úgy véljük továbbra is, jól felmérhető és értékelhető, egy folyamatosan kiemelt kockázattal bíró terület, a megfelelően képzett, és megfelelő volumenű szakember gárda megléte.</w:t>
      </w:r>
    </w:p>
    <w:p>
      <w:pPr>
        <w:pStyle w:val="Normal"/>
        <w:jc w:val="both"/>
        <w:rPr/>
      </w:pPr>
      <w:r>
        <w:rPr/>
        <w:t xml:space="preserve"> </w:t>
      </w:r>
    </w:p>
    <w:p>
      <w:pPr>
        <w:pStyle w:val="Normal"/>
        <w:jc w:val="both"/>
        <w:rPr/>
      </w:pPr>
      <w:r>
        <w:rPr/>
      </w:r>
    </w:p>
    <w:p>
      <w:pPr>
        <w:pStyle w:val="Lfej"/>
        <w:jc w:val="both"/>
        <w:rPr>
          <w:szCs w:val="23"/>
          <w:lang w:val="hu-HU"/>
        </w:rPr>
      </w:pPr>
      <w:r>
        <w:rPr>
          <w:szCs w:val="23"/>
          <w:lang w:val="hu-HU"/>
        </w:rPr>
        <w:t>Dátum: 2017. november 24.</w:t>
      </w:r>
    </w:p>
    <w:p>
      <w:pPr>
        <w:pStyle w:val="Lfej"/>
        <w:jc w:val="both"/>
        <w:rPr>
          <w:szCs w:val="23"/>
          <w:lang w:val="hu-HU"/>
        </w:rPr>
      </w:pPr>
      <w:r>
        <w:rPr>
          <w:szCs w:val="23"/>
          <w:lang w:val="hu-HU"/>
        </w:rPr>
      </w:r>
    </w:p>
    <w:p>
      <w:pPr>
        <w:pStyle w:val="Lfej"/>
        <w:tabs>
          <w:tab w:val="center" w:pos="4536" w:leader="none"/>
          <w:tab w:val="right" w:pos="9072" w:leader="none"/>
          <w:tab w:val="center" w:pos="10440" w:leader="none"/>
        </w:tabs>
        <w:rPr>
          <w:szCs w:val="23"/>
          <w:lang w:val="hu-HU"/>
        </w:rPr>
      </w:pPr>
      <w:r>
        <w:rPr>
          <w:szCs w:val="23"/>
          <w:lang w:val="hu-HU"/>
        </w:rPr>
        <w:tab/>
      </w:r>
    </w:p>
    <w:p>
      <w:pPr>
        <w:pStyle w:val="Lfej"/>
        <w:tabs>
          <w:tab w:val="center" w:pos="4536" w:leader="none"/>
          <w:tab w:val="center" w:pos="6663" w:leader="none"/>
          <w:tab w:val="right" w:pos="9072" w:leader="none"/>
        </w:tabs>
        <w:rPr>
          <w:szCs w:val="23"/>
          <w:lang w:val="hu-HU"/>
        </w:rPr>
      </w:pPr>
      <w:r>
        <w:rPr>
          <w:szCs w:val="23"/>
          <w:lang w:val="hu-HU"/>
        </w:rPr>
        <w:t xml:space="preserve">Készítette: Kiss Mária belső ellenőrzési vezető             </w:t>
        <w:tab/>
        <w:t xml:space="preserve">                           </w:t>
      </w:r>
    </w:p>
    <w:p>
      <w:pPr>
        <w:pStyle w:val="Lfej"/>
        <w:tabs>
          <w:tab w:val="center" w:pos="4536" w:leader="none"/>
          <w:tab w:val="right" w:pos="9072" w:leader="none"/>
          <w:tab w:val="center" w:pos="10440" w:leader="none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</w:r>
    </w:p>
    <w:p>
      <w:pPr>
        <w:pStyle w:val="Lfej"/>
        <w:tabs>
          <w:tab w:val="center" w:pos="4536" w:leader="none"/>
          <w:tab w:val="right" w:pos="9072" w:leader="none"/>
          <w:tab w:val="center" w:pos="10440" w:leader="none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</w:r>
    </w:p>
    <w:p>
      <w:pPr>
        <w:pStyle w:val="Lfej"/>
        <w:tabs>
          <w:tab w:val="center" w:pos="4536" w:leader="none"/>
          <w:tab w:val="right" w:pos="9072" w:leader="none"/>
          <w:tab w:val="center" w:pos="10440" w:leader="none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</w:r>
    </w:p>
    <w:p>
      <w:pPr>
        <w:pStyle w:val="Lfej"/>
        <w:tabs>
          <w:tab w:val="center" w:pos="4536" w:leader="none"/>
          <w:tab w:val="right" w:pos="9072" w:leader="none"/>
          <w:tab w:val="center" w:pos="10440" w:leader="none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  <w:t xml:space="preserve">             </w:t>
      </w:r>
      <w:r>
        <w:rPr>
          <w:szCs w:val="23"/>
          <w:lang w:val="hu-HU"/>
        </w:rPr>
        <w:tab/>
        <w:t xml:space="preserve">   ____________________                                                                                                             </w:t>
      </w:r>
    </w:p>
    <w:p>
      <w:pPr>
        <w:pStyle w:val="Lfej"/>
        <w:tabs>
          <w:tab w:val="center" w:pos="4536" w:leader="none"/>
          <w:tab w:val="right" w:pos="9072" w:leader="none"/>
          <w:tab w:val="center" w:pos="10440" w:leader="none"/>
        </w:tabs>
        <w:jc w:val="both"/>
        <w:rPr/>
      </w:pPr>
      <w:r>
        <w:rPr>
          <w:szCs w:val="23"/>
          <w:lang w:val="hu-HU"/>
        </w:rPr>
        <w:t xml:space="preserve">            </w:t>
      </w:r>
      <w:r>
        <w:rPr>
          <w:szCs w:val="23"/>
          <w:lang w:val="hu-HU"/>
        </w:rPr>
        <w:tab/>
        <w:t xml:space="preserve">     belső ellenőrzési vezető                                                                                                                               </w:t>
      </w:r>
    </w:p>
    <w:sectPr>
      <w:footerReference w:type="default" r:id="rId2"/>
      <w:type w:val="nextPage"/>
      <w:pgSz w:orient="landscape" w:w="16838" w:h="11906"/>
      <w:pgMar w:left="1418" w:right="1418" w:header="0" w:top="1418" w:footer="709" w:bottom="1418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ee"/>
    <w:family w:val="swiss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rPr/>
    </w:pPr>
    <w:r>
      <w:rPr/>
      <mc:AlternateContent>
        <mc:Choice Requires="wps">
          <w:drawing>
            <wp:anchor behindDoc="1" distT="0" distB="0" distL="113030" distR="114300" simplePos="0" locked="0" layoutInCell="1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align>center</wp:align>
              </wp:positionV>
              <wp:extent cx="662940" cy="504190"/>
              <wp:effectExtent l="9525" t="9525" r="5080" b="11430"/>
              <wp:wrapNone/>
              <wp:docPr id="3" name="AutoShap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" cy="503640"/>
                      </a:xfrm>
                      <a:prstGeom prst="horizontalScroll">
                        <a:avLst>
                          <a:gd name="adj" fmla="val 25000"/>
                        </a:avLst>
                      </a:prstGeom>
                      <a:noFill/>
                      <a:ln w="9360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Kerettartalom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shapetype_98" coordsize="21600,21600" o:spt="98" adj="2700" path="m21600@1qy@10@11l@9@1qy@12@13qx@14@15l@8@0l@1@0qx@16@17l0@6qy@18@19qx@20@21l@0@5l@9@5qx@22@23xm@1@4qx@11@24qy@25@26qx@27@28xnsem@1@4qx@11@24qy@25@26qx@27@28xm@9@0qx@22@29qy@30@31qx@32@33qy@34@35qx@36@37xnsem0@3qy@18@38l@8@0l@8@1qy@39@16qx@40@41l21600@7qy@10@42l@0@5l@0@6qy@29@19qx@31@21xm@8@0l@9@0qx@22@29m@9@0l@9@1qy@12@13qx@14@15m@1@4l@1@3qy@13@43qx@44@45qy@46@47qx@48@49m@0@3l@0@5nfe">
              <v:stroke joinstyle="miter"/>
              <v:formulas>
                <v:f eqn="val #0"/>
                <v:f eqn="prod @0 1 2"/>
                <v:f eqn="prod @0 1 4"/>
                <v:f eqn="sum @0 @1 0"/>
                <v:f eqn="sum @0 @0 0"/>
                <v:f eqn="sum height 0 @0"/>
                <v:f eqn="sum height 0 @1"/>
                <v:f eqn="sum @5 0 @1"/>
                <v:f eqn="sum width 0 @0"/>
                <v:f eqn="sum width 0 @1"/>
                <v:f eqn="sum 0 21600 @1"/>
                <v:f eqn="sum @1 @1 0"/>
                <v:f eqn="sum 0 @9 @2"/>
                <v:f eqn="sum @2 @1 0"/>
                <v:f eqn="sum 0 @12 @2"/>
                <v:f eqn="sum 0 @13 @2"/>
                <v:f eqn="sum 0 @1 @1"/>
                <v:f eqn="sum @1 @0 0"/>
                <v:f eqn="sum @1 0 0"/>
                <v:f eqn="sum @1 @6 0"/>
                <v:f eqn="sum @1 @18 0"/>
                <v:f eqn="sum 0 @19 @1"/>
                <v:f eqn="sum @1 @9 0"/>
                <v:f eqn="sum 0 @5 @1"/>
                <v:f eqn="sum 0 @4 @1"/>
                <v:f eqn="sum 0 @11 @2"/>
                <v:f eqn="sum 0 @24 @2"/>
                <v:f eqn="sum 0 @25 @2"/>
                <v:f eqn="sum @2 @26 0"/>
                <v:f eqn="sum 0 @0 @1"/>
                <v:f eqn="sum 0 @22 @1"/>
                <v:f eqn="sum 0 @29 @1"/>
                <v:f eqn="sum 0 @30 @1"/>
                <v:f eqn="sum @1 @31 0"/>
                <v:f eqn="sum @2 @32 0"/>
                <v:f eqn="sum @2 @33 0"/>
                <v:f eqn="sum @2 @34 0"/>
                <v:f eqn="sum 0 @35 @2"/>
                <v:f eqn="sum 0 @3 @1"/>
                <v:f eqn="sum @1 @8 0"/>
                <v:f eqn="sum @1 @39 0"/>
                <v:f eqn="sum @1 @16 0"/>
                <v:f eqn="sum @1 @7 0"/>
                <v:f eqn="sum 0 @3 @2"/>
                <v:f eqn="sum @2 @13 0"/>
                <v:f eqn="sum @2 @43 0"/>
                <v:f eqn="sum 0 @44 @1"/>
                <v:f eqn="sum @1 @45 0"/>
                <v:f eqn="sum 0 @46 @1"/>
                <v:f eqn="sum 0 @47 @1"/>
              </v:formulas>
              <v:path gradientshapeok="t" o:connecttype="rect" textboxrect="@0,@0,@9,@5"/>
              <v:handles>
                <v:h position="@0,0"/>
              </v:handles>
            </v:shapetype>
            <v:shape id="shape_0" ID="AutoShape 1" stroked="t" style="position:absolute;margin-left:323.95pt;margin-top:-12.95pt;width:52.1pt;height:39.6pt;mso-position-horizontal:center;mso-position-horizontal-relative:margin;mso-position-vertical:center" type="shapetype_98">
              <w10:wrap type="square"/>
              <v:fill o:detectmouseclick="t" on="false"/>
              <v:stroke color="#a6a6a6" weight="9360" joinstyle="round" endcap="flat"/>
              <v:textbox>
                <w:txbxContent>
                  <w:p>
                    <w:pPr>
                      <w:pStyle w:val="Kerettartalom"/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hu-HU" w:eastAsia="hu-HU" w:bidi="ar-SA"/>
    </w:rPr>
  </w:style>
  <w:style w:type="paragraph" w:styleId="Cmsor1">
    <w:name w:val="Heading 1"/>
    <w:basedOn w:val="Cmsor2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false"/>
      <w:i w:val="false"/>
      <w:iCs w:val="false"/>
      <w:szCs w:val="23"/>
      <w:u w:val="single"/>
      <w:lang w:eastAsia="en-US"/>
    </w:rPr>
  </w:style>
  <w:style w:type="paragraph" w:styleId="Cmsor2">
    <w:name w:val="Heading 2"/>
    <w:basedOn w:val="Norma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lbChar" w:customStyle="1">
    <w:name w:val="Élőláb Char"/>
    <w:basedOn w:val="DefaultParagraphFont"/>
    <w:link w:val="llb"/>
    <w:qFormat/>
    <w:rsid w:val="006d0ba8"/>
    <w:rPr>
      <w:sz w:val="24"/>
      <w:szCs w:val="24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a542ec"/>
    <w:pPr>
      <w:jc w:val="both"/>
    </w:pPr>
    <w:rPr>
      <w:lang w:val="en-US" w:eastAsia="en-US"/>
    </w:rPr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fej">
    <w:name w:val="Header"/>
    <w:basedOn w:val="Normal"/>
    <w:rsid w:val="00a542ec"/>
    <w:pPr>
      <w:tabs>
        <w:tab w:val="center" w:pos="4536" w:leader="none"/>
        <w:tab w:val="right" w:pos="9072" w:leader="none"/>
      </w:tabs>
    </w:pPr>
    <w:rPr>
      <w:lang w:val="en-US" w:eastAsia="en-US"/>
    </w:rPr>
  </w:style>
  <w:style w:type="paragraph" w:styleId="BalloonText">
    <w:name w:val="Balloon Text"/>
    <w:basedOn w:val="Normal"/>
    <w:semiHidden/>
    <w:qFormat/>
    <w:rsid w:val="00a542ec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al"/>
    <w:link w:val="llbChar"/>
    <w:rsid w:val="006d0ba8"/>
    <w:pPr>
      <w:tabs>
        <w:tab w:val="center" w:pos="4536" w:leader="none"/>
        <w:tab w:val="right" w:pos="9072" w:leader="none"/>
      </w:tabs>
    </w:pPr>
    <w:rPr/>
  </w:style>
  <w:style w:type="paragraph" w:styleId="Kerettartalom">
    <w:name w:val="Kerettartalom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rsid w:val="00d4058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6C8DDC-528A-43F2-8DAA-1473E4B9F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LibreOffice/5.2.7.2$Windows_x86 LibreOffice_project/2b7f1e640c46ceb28adf43ee075a6e8b8439ed10</Application>
  <Pages>3</Pages>
  <Words>418</Words>
  <Characters>3048</Characters>
  <CharactersWithSpaces>3738</CharactersWithSpaces>
  <Paragraphs>74</Paragraphs>
  <Company>Tömpe és Társa Bt.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2017-11-28T14:03:00Z</dcterms:created>
  <dc:creator>Vendégfelhasználók</dc:creator>
  <dc:description/>
  <dc:language>hu-HU</dc:language>
  <cp:lastModifiedBy/>
  <cp:lastPrinted>2017-12-12T15:08:00Z</cp:lastPrinted>
  <dcterms:modified xsi:type="dcterms:W3CDTF">2017-12-12T15:08:22Z</dcterms:modified>
  <cp:revision>5</cp:revision>
  <dc:subject/>
  <dc:title>…………………………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Tömpe és Társa Bt.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